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219C3512"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8458EC">
        <w:rPr>
          <w:rFonts w:ascii="Arial" w:hAnsi="Arial" w:cs="Arial"/>
          <w:spacing w:val="4"/>
          <w:sz w:val="24"/>
          <w:szCs w:val="24"/>
          <w:lang w:val="pt-BR"/>
        </w:rPr>
        <w:t>10</w:t>
      </w:r>
      <w:r>
        <w:rPr>
          <w:rFonts w:ascii="Arial" w:hAnsi="Arial" w:cs="Arial"/>
          <w:spacing w:val="4"/>
          <w:sz w:val="24"/>
          <w:szCs w:val="24"/>
          <w:lang w:val="pt-BR"/>
        </w:rPr>
        <w:t xml:space="preserve">-24/PHPU.DPR-DPRD/XXII/2024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Partai </w:t>
      </w:r>
      <w:r w:rsidR="008458EC">
        <w:rPr>
          <w:rFonts w:ascii="Arial" w:hAnsi="Arial" w:cs="Arial"/>
          <w:spacing w:val="4"/>
          <w:sz w:val="24"/>
          <w:szCs w:val="24"/>
          <w:lang w:val="en-US"/>
        </w:rPr>
        <w:t>Hati Nurani Rakyat</w:t>
      </w:r>
      <w:r w:rsidR="003105AE">
        <w:rPr>
          <w:rFonts w:ascii="Arial" w:hAnsi="Arial" w:cs="Arial"/>
          <w:spacing w:val="4"/>
          <w:sz w:val="24"/>
          <w:szCs w:val="24"/>
          <w:lang w:val="en-US"/>
        </w:rPr>
        <w:t xml:space="preserve"> (</w:t>
      </w:r>
      <w:r w:rsidR="008458EC">
        <w:rPr>
          <w:rFonts w:ascii="Arial" w:hAnsi="Arial" w:cs="Arial"/>
          <w:spacing w:val="4"/>
          <w:sz w:val="24"/>
          <w:szCs w:val="24"/>
          <w:lang w:val="en-US"/>
        </w:rPr>
        <w:t>Partai Hanura</w:t>
      </w:r>
      <w:r w:rsidR="003105AE">
        <w:rPr>
          <w:rFonts w:ascii="Arial" w:hAnsi="Arial" w:cs="Arial"/>
          <w:spacing w:val="4"/>
          <w:sz w:val="24"/>
          <w:szCs w:val="24"/>
          <w:lang w:val="en-US"/>
        </w:rPr>
        <w:t>)</w:t>
      </w:r>
      <w:r>
        <w:rPr>
          <w:rFonts w:ascii="Arial" w:hAnsi="Arial" w:cs="Arial"/>
          <w:spacing w:val="4"/>
          <w:sz w:val="24"/>
          <w:szCs w:val="24"/>
          <w:lang w:val="en-US"/>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730923C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3105AE">
        <w:rPr>
          <w:rFonts w:ascii="Arial" w:hAnsi="Arial" w:cs="Arial"/>
          <w:sz w:val="24"/>
          <w:szCs w:val="24"/>
        </w:rPr>
        <w:t xml:space="preserve">TB. Simatupang Nomor 82 Pasar </w:t>
      </w:r>
      <w:r w:rsidR="003105AE">
        <w:rPr>
          <w:rFonts w:ascii="Arial" w:hAnsi="Arial" w:cs="Arial"/>
          <w:sz w:val="24"/>
          <w:szCs w:val="24"/>
          <w:lang w:val="en-US"/>
        </w:rPr>
        <w:t>Kamis</w:t>
      </w:r>
      <w:r w:rsidR="003105AE">
        <w:rPr>
          <w:rFonts w:ascii="Arial" w:hAnsi="Arial" w:cs="Arial"/>
          <w:sz w:val="24"/>
          <w:szCs w:val="24"/>
        </w:rPr>
        <w:t>,</w:t>
      </w:r>
      <w:r w:rsidRPr="002E361A">
        <w:rPr>
          <w:rFonts w:ascii="Arial" w:hAnsi="Arial" w:cs="Arial"/>
          <w:sz w:val="24"/>
          <w:szCs w:val="24"/>
        </w:rPr>
        <w:t xml:space="preserve">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41204264" w:rsidR="00D274B6" w:rsidRDefault="00D274B6"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D274B6">
        <w:rPr>
          <w:rFonts w:ascii="Arial" w:eastAsia="Arial Unicode MS" w:hAnsi="Arial" w:cs="Arial"/>
        </w:rPr>
        <w:t>Maret</w:t>
      </w:r>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76073B19"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D274B6">
        <w:rPr>
          <w:rFonts w:ascii="Arial" w:hAnsi="Arial" w:cs="Arial"/>
          <w:spacing w:val="4"/>
          <w:lang w:val="fi-FI"/>
        </w:rPr>
        <w:t xml:space="preserve">Partai </w:t>
      </w:r>
      <w:r w:rsidR="008458EC">
        <w:rPr>
          <w:rFonts w:ascii="Arial" w:hAnsi="Arial" w:cs="Arial"/>
          <w:spacing w:val="4"/>
          <w:lang w:val="fi-FI"/>
        </w:rPr>
        <w:t>Hanura</w:t>
      </w:r>
      <w:r w:rsidRPr="00DF1C9C">
        <w:rPr>
          <w:rFonts w:ascii="Arial" w:hAnsi="Arial" w:cs="Arial"/>
          <w:spacing w:val="4"/>
          <w:lang w:val="fi-FI"/>
        </w:rPr>
        <w:t xml:space="preserve"> </w:t>
      </w:r>
      <w:r>
        <w:rPr>
          <w:rFonts w:ascii="Arial" w:hAnsi="Arial" w:cs="Arial"/>
          <w:spacing w:val="4"/>
        </w:rPr>
        <w:t>Daerah</w:t>
      </w:r>
      <w:r w:rsidR="00EC52CE">
        <w:rPr>
          <w:rFonts w:ascii="Arial" w:hAnsi="Arial" w:cs="Arial"/>
          <w:spacing w:val="4"/>
        </w:rPr>
        <w:t xml:space="preserve"> </w:t>
      </w:r>
      <w:r>
        <w:rPr>
          <w:rFonts w:ascii="Arial" w:hAnsi="Arial" w:cs="Arial"/>
          <w:spacing w:val="4"/>
        </w:rPr>
        <w:t xml:space="preserve">Pemilihan Kalimantan Utara 1 </w:t>
      </w:r>
    </w:p>
    <w:p w14:paraId="3D0CB409" w14:textId="7D0337E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0A4186">
        <w:rPr>
          <w:rFonts w:ascii="Arial" w:hAnsi="Arial" w:cs="Arial"/>
          <w:spacing w:val="4"/>
        </w:rPr>
        <w:t>ber</w:t>
      </w:r>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r w:rsidR="00D274B6">
        <w:rPr>
          <w:rFonts w:ascii="Arial" w:hAnsi="Arial" w:cs="Arial"/>
          <w:spacing w:val="4"/>
        </w:rPr>
        <w:t>Maret</w:t>
      </w:r>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0A4186">
        <w:rPr>
          <w:rFonts w:ascii="Arial" w:hAnsi="Arial" w:cs="Arial"/>
          <w:spacing w:val="4"/>
        </w:rPr>
        <w:t>Iful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0A4186">
        <w:rPr>
          <w:rFonts w:ascii="Arial" w:hAnsi="Arial" w:cs="Arial"/>
          <w:spacing w:val="4"/>
          <w:lang w:val="en-ID"/>
        </w:rPr>
        <w:t>Fransis</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000A4186">
        <w:rPr>
          <w:rFonts w:ascii="Arial" w:hAnsi="Arial" w:cs="Arial"/>
          <w:spacing w:val="4"/>
          <w:lang w:val="en-AU"/>
        </w:rPr>
        <w:t>Rumbun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Pr>
          <w:rFonts w:ascii="Arial" w:hAnsi="Arial" w:cs="Arial"/>
          <w:b/>
          <w:spacing w:val="4"/>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Pr>
          <w:rFonts w:ascii="Arial" w:hAnsi="Arial" w:cs="Arial"/>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r w:rsidR="000A4186">
        <w:rPr>
          <w:rFonts w:ascii="Arial" w:hAnsi="Arial" w:cs="Arial"/>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5545DB5C"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ED21C0">
        <w:rPr>
          <w:rFonts w:ascii="Arial" w:eastAsia="Arial Unicode MS" w:hAnsi="Arial" w:cs="Arial"/>
          <w:sz w:val="24"/>
          <w:szCs w:val="24"/>
          <w:lang w:val="en-US"/>
        </w:rPr>
        <w:t xml:space="preserve">Partai </w:t>
      </w:r>
      <w:r w:rsidR="008458EC">
        <w:rPr>
          <w:rFonts w:ascii="Arial" w:eastAsia="Arial Unicode MS" w:hAnsi="Arial" w:cs="Arial"/>
          <w:sz w:val="24"/>
          <w:szCs w:val="24"/>
          <w:lang w:val="en-US"/>
        </w:rPr>
        <w:t>Hanura</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 xml:space="preserve">DPRD </w:t>
      </w:r>
      <w:r w:rsidR="006A16FE">
        <w:rPr>
          <w:rFonts w:ascii="Arial" w:hAnsi="Arial" w:cs="Arial"/>
          <w:sz w:val="24"/>
          <w:szCs w:val="24"/>
          <w:lang w:val="pt-BR"/>
        </w:rPr>
        <w:lastRenderedPageBreak/>
        <w:t>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4D0739E4"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Partai </w:t>
      </w:r>
      <w:r w:rsidR="008458EC">
        <w:rPr>
          <w:rFonts w:ascii="Arial" w:hAnsi="Arial" w:cs="Arial"/>
          <w:sz w:val="24"/>
          <w:szCs w:val="24"/>
          <w:lang w:val="en-US"/>
        </w:rPr>
        <w:t>Hanura</w:t>
      </w:r>
      <w:r w:rsidR="00EC52CE">
        <w:rPr>
          <w:rFonts w:ascii="Arial" w:hAnsi="Arial" w:cs="Arial"/>
          <w:sz w:val="24"/>
          <w:szCs w:val="24"/>
          <w:lang w:val="en-US"/>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bookmarkStart w:id="0" w:name="_GoBack"/>
      <w:bookmarkEnd w:id="0"/>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6C230" w14:textId="77777777" w:rsidR="000F44A3" w:rsidRDefault="000F44A3" w:rsidP="002A3D08">
      <w:pPr>
        <w:spacing w:line="240" w:lineRule="auto"/>
      </w:pPr>
      <w:r>
        <w:separator/>
      </w:r>
    </w:p>
  </w:endnote>
  <w:endnote w:type="continuationSeparator" w:id="0">
    <w:p w14:paraId="2A8EEA9F" w14:textId="77777777" w:rsidR="000F44A3" w:rsidRDefault="000F44A3"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18829932"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8458EC">
          <w:rPr>
            <w:rFonts w:asciiTheme="majorHAnsi" w:hAnsiTheme="majorHAnsi"/>
            <w:sz w:val="16"/>
            <w:szCs w:val="16"/>
          </w:rPr>
          <w:t>9</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8ED2" w14:textId="77777777" w:rsidR="000F44A3" w:rsidRDefault="000F44A3" w:rsidP="002A3D08">
      <w:pPr>
        <w:spacing w:line="240" w:lineRule="auto"/>
      </w:pPr>
      <w:r>
        <w:separator/>
      </w:r>
    </w:p>
  </w:footnote>
  <w:footnote w:type="continuationSeparator" w:id="0">
    <w:p w14:paraId="46476300" w14:textId="77777777" w:rsidR="000F44A3" w:rsidRDefault="000F44A3"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44A3"/>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A568-0735-4F05-848E-2091A931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2023-05-29T08:14:00Z</dcterms:created>
  <dcterms:modified xsi:type="dcterms:W3CDTF">2023-05-29T08:14:00Z</dcterms:modified>
</cp:coreProperties>
</file>